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87" w:rsidRPr="00777282" w:rsidRDefault="00F22587" w:rsidP="00F22587">
      <w:pPr>
        <w:jc w:val="center"/>
        <w:rPr>
          <w:rFonts w:ascii="標楷體" w:eastAsia="標楷體" w:hAnsi="標楷體"/>
          <w:b/>
          <w:sz w:val="32"/>
        </w:rPr>
      </w:pPr>
      <w:r w:rsidRPr="00777282">
        <w:rPr>
          <w:rFonts w:ascii="標楷體" w:eastAsia="標楷體" w:hAnsi="標楷體" w:hint="eastAsia"/>
          <w:b/>
          <w:sz w:val="32"/>
        </w:rPr>
        <w:t>實踨大學觀光管理學系</w:t>
      </w:r>
      <w:r w:rsidR="00790C9E">
        <w:rPr>
          <w:rFonts w:ascii="標楷體" w:eastAsia="標楷體" w:hAnsi="標楷體" w:hint="eastAsia"/>
          <w:b/>
          <w:sz w:val="32"/>
        </w:rPr>
        <w:t>學習獎勵金</w:t>
      </w:r>
      <w:r w:rsidRPr="00777282">
        <w:rPr>
          <w:rFonts w:ascii="標楷體" w:eastAsia="標楷體" w:hAnsi="標楷體" w:hint="eastAsia"/>
          <w:b/>
          <w:sz w:val="32"/>
        </w:rPr>
        <w:t>要點</w:t>
      </w:r>
    </w:p>
    <w:p w:rsidR="00777282" w:rsidRPr="00C334B8" w:rsidRDefault="00777282" w:rsidP="00C334B8">
      <w:pPr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1</w:t>
      </w:r>
      <w:r>
        <w:rPr>
          <w:rFonts w:ascii="標楷體" w:eastAsia="標楷體" w:hAnsi="標楷體"/>
          <w:sz w:val="16"/>
          <w:szCs w:val="16"/>
        </w:rPr>
        <w:t>13</w:t>
      </w:r>
      <w:r>
        <w:rPr>
          <w:rFonts w:ascii="標楷體" w:eastAsia="標楷體" w:hAnsi="標楷體" w:hint="eastAsia"/>
          <w:sz w:val="16"/>
          <w:szCs w:val="16"/>
        </w:rPr>
        <w:t>年</w:t>
      </w:r>
      <w:r w:rsidR="003A1F55">
        <w:rPr>
          <w:rFonts w:ascii="標楷體" w:eastAsia="標楷體" w:hAnsi="標楷體" w:hint="eastAsia"/>
          <w:sz w:val="16"/>
          <w:szCs w:val="16"/>
        </w:rPr>
        <w:t>1</w:t>
      </w:r>
      <w:r w:rsidR="001C38BB">
        <w:rPr>
          <w:rFonts w:ascii="標楷體" w:eastAsia="標楷體" w:hAnsi="標楷體" w:hint="eastAsia"/>
          <w:sz w:val="16"/>
          <w:szCs w:val="16"/>
        </w:rPr>
        <w:t>0</w:t>
      </w:r>
      <w:r w:rsidR="00C334B8">
        <w:rPr>
          <w:rFonts w:ascii="標楷體" w:eastAsia="標楷體" w:hAnsi="標楷體" w:hint="eastAsia"/>
          <w:sz w:val="16"/>
          <w:szCs w:val="16"/>
        </w:rPr>
        <w:t>月</w:t>
      </w:r>
      <w:r w:rsidR="001C38BB">
        <w:rPr>
          <w:rFonts w:ascii="標楷體" w:eastAsia="標楷體" w:hAnsi="標楷體" w:hint="eastAsia"/>
          <w:sz w:val="16"/>
          <w:szCs w:val="16"/>
        </w:rPr>
        <w:t>9</w:t>
      </w:r>
      <w:r w:rsidR="00C334B8">
        <w:rPr>
          <w:rFonts w:ascii="標楷體" w:eastAsia="標楷體" w:hAnsi="標楷體" w:hint="eastAsia"/>
          <w:sz w:val="16"/>
          <w:szCs w:val="16"/>
        </w:rPr>
        <w:t>日11</w:t>
      </w:r>
      <w:r w:rsidR="003A1F55">
        <w:rPr>
          <w:rFonts w:ascii="標楷體" w:eastAsia="標楷體" w:hAnsi="標楷體" w:hint="eastAsia"/>
          <w:sz w:val="16"/>
          <w:szCs w:val="16"/>
        </w:rPr>
        <w:t>3</w:t>
      </w:r>
      <w:r w:rsidR="00C334B8" w:rsidRPr="00C334B8">
        <w:rPr>
          <w:rFonts w:ascii="標楷體" w:eastAsia="標楷體" w:hAnsi="標楷體" w:hint="eastAsia"/>
          <w:sz w:val="16"/>
          <w:szCs w:val="16"/>
        </w:rPr>
        <w:t>年度第</w:t>
      </w:r>
      <w:r w:rsidR="003A1F55">
        <w:rPr>
          <w:rFonts w:ascii="標楷體" w:eastAsia="標楷體" w:hAnsi="標楷體" w:hint="eastAsia"/>
          <w:sz w:val="16"/>
          <w:szCs w:val="16"/>
        </w:rPr>
        <w:t>1</w:t>
      </w:r>
      <w:r w:rsidR="00C334B8" w:rsidRPr="00C334B8">
        <w:rPr>
          <w:rFonts w:ascii="標楷體" w:eastAsia="標楷體" w:hAnsi="標楷體" w:hint="eastAsia"/>
          <w:sz w:val="16"/>
          <w:szCs w:val="16"/>
        </w:rPr>
        <w:t>學期第</w:t>
      </w:r>
      <w:r w:rsidR="001C38BB">
        <w:rPr>
          <w:rFonts w:ascii="標楷體" w:eastAsia="標楷體" w:hAnsi="標楷體" w:hint="eastAsia"/>
          <w:sz w:val="16"/>
          <w:szCs w:val="16"/>
        </w:rPr>
        <w:t>2</w:t>
      </w:r>
      <w:r w:rsidR="00C334B8" w:rsidRPr="00C334B8">
        <w:rPr>
          <w:rFonts w:ascii="標楷體" w:eastAsia="標楷體" w:hAnsi="標楷體" w:hint="eastAsia"/>
          <w:sz w:val="16"/>
          <w:szCs w:val="16"/>
        </w:rPr>
        <w:t>次</w:t>
      </w:r>
      <w:r w:rsidR="00C334B8">
        <w:rPr>
          <w:rFonts w:ascii="標楷體" w:eastAsia="標楷體" w:hAnsi="標楷體" w:hint="eastAsia"/>
          <w:sz w:val="16"/>
          <w:szCs w:val="16"/>
        </w:rPr>
        <w:t>系</w:t>
      </w:r>
      <w:r w:rsidR="00C334B8" w:rsidRPr="00C334B8">
        <w:rPr>
          <w:rFonts w:ascii="標楷體" w:eastAsia="標楷體" w:hAnsi="標楷體" w:hint="eastAsia"/>
          <w:sz w:val="16"/>
          <w:szCs w:val="16"/>
        </w:rPr>
        <w:t>務會議通過</w:t>
      </w:r>
    </w:p>
    <w:p w:rsidR="00777282" w:rsidRPr="00777282" w:rsidRDefault="00777282" w:rsidP="00777282">
      <w:pPr>
        <w:jc w:val="right"/>
        <w:rPr>
          <w:rFonts w:ascii="標楷體" w:eastAsia="標楷體" w:hAnsi="標楷體"/>
          <w:sz w:val="16"/>
          <w:szCs w:val="16"/>
        </w:rPr>
      </w:pPr>
    </w:p>
    <w:p w:rsidR="00767E93" w:rsidRPr="003A1F55" w:rsidRDefault="00767E93" w:rsidP="008C1C36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3A1F55">
        <w:rPr>
          <w:rFonts w:ascii="標楷體" w:eastAsia="標楷體" w:hAnsi="標楷體" w:cs="新細明體"/>
          <w:kern w:val="0"/>
          <w:szCs w:val="24"/>
        </w:rPr>
        <w:t>為鼓勵學生積極參與學習活動，培養其參與公共事務的素養並擴展領域學習能力，本系特訂定本獎勳金要點，旨在表彰在學習活動中表現優異的學生。</w:t>
      </w:r>
    </w:p>
    <w:p w:rsidR="00767E93" w:rsidRPr="003A1F55" w:rsidRDefault="00767E93" w:rsidP="008C1C36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/>
        <w:jc w:val="both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 w:rsidRPr="003A1F55">
        <w:rPr>
          <w:rFonts w:ascii="標楷體" w:eastAsia="標楷體" w:hAnsi="標楷體" w:cs="新細明體"/>
          <w:bCs/>
          <w:kern w:val="0"/>
          <w:szCs w:val="24"/>
        </w:rPr>
        <w:t>申請對象</w:t>
      </w:r>
      <w:r w:rsidRPr="003A1F55">
        <w:rPr>
          <w:rFonts w:ascii="標楷體" w:eastAsia="標楷體" w:hAnsi="標楷體" w:cs="新細明體" w:hint="eastAsia"/>
          <w:bCs/>
          <w:kern w:val="0"/>
          <w:szCs w:val="24"/>
        </w:rPr>
        <w:t>：</w:t>
      </w:r>
    </w:p>
    <w:p w:rsidR="000411E3" w:rsidRDefault="00767E93" w:rsidP="000411E3">
      <w:pPr>
        <w:pStyle w:val="a3"/>
        <w:widowControl/>
        <w:numPr>
          <w:ilvl w:val="1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3A1F55">
        <w:rPr>
          <w:rFonts w:ascii="標楷體" w:eastAsia="標楷體" w:hAnsi="標楷體" w:cs="新細明體"/>
          <w:kern w:val="0"/>
          <w:szCs w:val="24"/>
        </w:rPr>
        <w:t>本系具正式學籍之在學學生。</w:t>
      </w:r>
    </w:p>
    <w:p w:rsidR="000411E3" w:rsidRPr="000411E3" w:rsidRDefault="000411E3" w:rsidP="000411E3">
      <w:pPr>
        <w:pStyle w:val="a3"/>
        <w:widowControl/>
        <w:numPr>
          <w:ilvl w:val="1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申請當學年度在學學籍為本校非觀光系學生，惟實質修讀本系課程，擬於次學期或次學年轉入觀光系者。</w:t>
      </w:r>
    </w:p>
    <w:p w:rsidR="00767E93" w:rsidRPr="003A1F55" w:rsidRDefault="00767E93" w:rsidP="008C1C36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/>
        <w:jc w:val="both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 w:rsidRPr="003A1F55">
        <w:rPr>
          <w:rFonts w:ascii="標楷體" w:eastAsia="標楷體" w:hAnsi="標楷體" w:cs="新細明體"/>
          <w:bCs/>
          <w:kern w:val="0"/>
          <w:szCs w:val="24"/>
        </w:rPr>
        <w:t>名額</w:t>
      </w:r>
    </w:p>
    <w:p w:rsidR="003A1F55" w:rsidRPr="003A1F55" w:rsidRDefault="00767E93" w:rsidP="008C1C36">
      <w:pPr>
        <w:pStyle w:val="a3"/>
        <w:widowControl/>
        <w:numPr>
          <w:ilvl w:val="1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3A1F55">
        <w:rPr>
          <w:rFonts w:ascii="標楷體" w:eastAsia="標楷體" w:hAnsi="標楷體" w:cs="新細明體"/>
          <w:kern w:val="0"/>
          <w:szCs w:val="24"/>
        </w:rPr>
        <w:t>每學年度選拔學生</w:t>
      </w:r>
      <w:r w:rsidR="001C1062">
        <w:rPr>
          <w:rFonts w:ascii="標楷體" w:eastAsia="標楷體" w:hAnsi="標楷體" w:cs="新細明體" w:hint="eastAsia"/>
          <w:kern w:val="0"/>
          <w:szCs w:val="24"/>
        </w:rPr>
        <w:t>人數</w:t>
      </w:r>
      <w:r w:rsidRPr="003A1F55">
        <w:rPr>
          <w:rFonts w:ascii="標楷體" w:eastAsia="標楷體" w:hAnsi="標楷體" w:cs="新細明體"/>
          <w:kern w:val="0"/>
          <w:szCs w:val="24"/>
        </w:rPr>
        <w:t>根據實際情況調整名額。</w:t>
      </w:r>
    </w:p>
    <w:p w:rsidR="00767E93" w:rsidRPr="003A1F55" w:rsidRDefault="00767E93" w:rsidP="008C1C36">
      <w:pPr>
        <w:pStyle w:val="a3"/>
        <w:widowControl/>
        <w:numPr>
          <w:ilvl w:val="1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3A1F55">
        <w:rPr>
          <w:rFonts w:ascii="標楷體" w:eastAsia="標楷體" w:hAnsi="標楷體" w:cs="新細明體"/>
          <w:kern w:val="0"/>
          <w:szCs w:val="24"/>
        </w:rPr>
        <w:t>每名學生每學年最多申請一次，且不得重複領取。</w:t>
      </w:r>
    </w:p>
    <w:p w:rsidR="00767E93" w:rsidRPr="003A1F55" w:rsidRDefault="00CA65FA" w:rsidP="008C1C36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/>
        <w:jc w:val="both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>獎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勵</w:t>
      </w:r>
      <w:r w:rsidR="00767E93" w:rsidRPr="003A1F55">
        <w:rPr>
          <w:rFonts w:ascii="標楷體" w:eastAsia="標楷體" w:hAnsi="標楷體" w:cs="新細明體"/>
          <w:bCs/>
          <w:kern w:val="0"/>
          <w:szCs w:val="24"/>
        </w:rPr>
        <w:t>金金額</w:t>
      </w:r>
    </w:p>
    <w:p w:rsidR="00767E93" w:rsidRPr="003A1F55" w:rsidRDefault="00CA65FA" w:rsidP="008C1C36">
      <w:pPr>
        <w:pStyle w:val="a3"/>
        <w:widowControl/>
        <w:numPr>
          <w:ilvl w:val="1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獎</w:t>
      </w:r>
      <w:r>
        <w:rPr>
          <w:rFonts w:ascii="標楷體" w:eastAsia="標楷體" w:hAnsi="標楷體" w:cs="新細明體" w:hint="eastAsia"/>
          <w:kern w:val="0"/>
          <w:szCs w:val="24"/>
        </w:rPr>
        <w:t>勵</w:t>
      </w:r>
      <w:bookmarkStart w:id="0" w:name="_GoBack"/>
      <w:bookmarkEnd w:id="0"/>
      <w:r w:rsidR="00767E93" w:rsidRPr="003A1F55">
        <w:rPr>
          <w:rFonts w:ascii="標楷體" w:eastAsia="標楷體" w:hAnsi="標楷體" w:cs="新細明體"/>
          <w:kern w:val="0"/>
          <w:szCs w:val="24"/>
        </w:rPr>
        <w:t>金金額將依據當年度學系編列經費而定。</w:t>
      </w:r>
    </w:p>
    <w:p w:rsidR="00767E93" w:rsidRPr="003A1F55" w:rsidRDefault="00767E93" w:rsidP="008C1C36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/>
        <w:jc w:val="both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 w:rsidRPr="003A1F55">
        <w:rPr>
          <w:rFonts w:ascii="標楷體" w:eastAsia="標楷體" w:hAnsi="標楷體" w:cs="新細明體"/>
          <w:bCs/>
          <w:kern w:val="0"/>
          <w:szCs w:val="24"/>
        </w:rPr>
        <w:t>申請流程</w:t>
      </w:r>
    </w:p>
    <w:p w:rsidR="00767E93" w:rsidRPr="00767E93" w:rsidRDefault="00767E93" w:rsidP="008C1C36">
      <w:pPr>
        <w:widowControl/>
        <w:numPr>
          <w:ilvl w:val="1"/>
          <w:numId w:val="3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Cs w:val="24"/>
        </w:rPr>
      </w:pPr>
      <w:r w:rsidRPr="00767E93">
        <w:rPr>
          <w:rFonts w:ascii="標楷體" w:eastAsia="標楷體" w:hAnsi="標楷體" w:cs="新細明體"/>
          <w:kern w:val="0"/>
          <w:szCs w:val="24"/>
        </w:rPr>
        <w:t>學生無須主動提出申請。</w:t>
      </w:r>
    </w:p>
    <w:p w:rsidR="00767E93" w:rsidRPr="00767E93" w:rsidRDefault="00767E93" w:rsidP="008C1C36">
      <w:pPr>
        <w:widowControl/>
        <w:numPr>
          <w:ilvl w:val="1"/>
          <w:numId w:val="3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Cs w:val="24"/>
        </w:rPr>
      </w:pPr>
      <w:r w:rsidRPr="00767E93">
        <w:rPr>
          <w:rFonts w:ascii="標楷體" w:eastAsia="標楷體" w:hAnsi="標楷體" w:cs="新細明體"/>
          <w:kern w:val="0"/>
          <w:szCs w:val="24"/>
        </w:rPr>
        <w:t>由學系專任教師推薦，根據學生在學習活動中的表現進行推薦。</w:t>
      </w:r>
    </w:p>
    <w:p w:rsidR="00767E93" w:rsidRPr="00767E93" w:rsidRDefault="00767E93" w:rsidP="008C1C36">
      <w:pPr>
        <w:widowControl/>
        <w:numPr>
          <w:ilvl w:val="1"/>
          <w:numId w:val="3"/>
        </w:numPr>
        <w:spacing w:before="100" w:beforeAutospacing="1" w:after="100" w:afterAutospacing="1"/>
        <w:jc w:val="both"/>
        <w:rPr>
          <w:rFonts w:ascii="標楷體" w:eastAsia="標楷體" w:hAnsi="標楷體" w:cs="新細明體"/>
          <w:kern w:val="0"/>
          <w:szCs w:val="24"/>
        </w:rPr>
      </w:pPr>
      <w:r w:rsidRPr="00767E93">
        <w:rPr>
          <w:rFonts w:ascii="標楷體" w:eastAsia="標楷體" w:hAnsi="標楷體" w:cs="新細明體"/>
          <w:kern w:val="0"/>
          <w:szCs w:val="24"/>
        </w:rPr>
        <w:t>經系務會議審議後，選出符合條件的學生，並撥發獎勳金。</w:t>
      </w:r>
    </w:p>
    <w:p w:rsidR="00767E93" w:rsidRPr="003A1F55" w:rsidRDefault="00767E93" w:rsidP="008C1C36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 w:left="426"/>
        <w:jc w:val="both"/>
        <w:outlineLvl w:val="3"/>
        <w:rPr>
          <w:rFonts w:ascii="標楷體" w:eastAsia="標楷體" w:hAnsi="標楷體" w:cs="新細明體"/>
          <w:bCs/>
          <w:kern w:val="0"/>
          <w:szCs w:val="24"/>
        </w:rPr>
      </w:pPr>
      <w:r w:rsidRPr="003A1F55">
        <w:rPr>
          <w:rFonts w:ascii="標楷體" w:eastAsia="標楷體" w:hAnsi="標楷體" w:cs="新細明體"/>
          <w:bCs/>
          <w:kern w:val="0"/>
          <w:szCs w:val="24"/>
        </w:rPr>
        <w:t>審查標準</w:t>
      </w:r>
    </w:p>
    <w:p w:rsidR="003A1F55" w:rsidRPr="003A1F55" w:rsidRDefault="00767E93" w:rsidP="008C1C36">
      <w:pPr>
        <w:pStyle w:val="a3"/>
        <w:widowControl/>
        <w:numPr>
          <w:ilvl w:val="1"/>
          <w:numId w:val="3"/>
        </w:numPr>
        <w:spacing w:before="100" w:beforeAutospacing="1" w:after="100" w:afterAutospacing="1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3A1F55">
        <w:rPr>
          <w:rFonts w:ascii="標楷體" w:eastAsia="標楷體" w:hAnsi="標楷體" w:cs="新細明體"/>
          <w:kern w:val="0"/>
          <w:szCs w:val="24"/>
        </w:rPr>
        <w:t>審查將根據學生參與學習活動的積極性、學習成效以及對公共事務的貢獻等多方面進行綜合評估。</w:t>
      </w:r>
    </w:p>
    <w:p w:rsidR="00767E93" w:rsidRPr="003A1F55" w:rsidRDefault="00767E93" w:rsidP="008C1C36">
      <w:pPr>
        <w:pStyle w:val="a3"/>
        <w:widowControl/>
        <w:numPr>
          <w:ilvl w:val="0"/>
          <w:numId w:val="3"/>
        </w:numPr>
        <w:spacing w:before="100" w:beforeAutospacing="1" w:after="100" w:afterAutospacing="1"/>
        <w:ind w:leftChars="0"/>
        <w:jc w:val="both"/>
        <w:outlineLvl w:val="3"/>
        <w:rPr>
          <w:rFonts w:ascii="標楷體" w:eastAsia="標楷體" w:hAnsi="標楷體" w:cs="新細明體"/>
          <w:kern w:val="0"/>
          <w:szCs w:val="24"/>
        </w:rPr>
      </w:pPr>
      <w:r w:rsidRPr="003A1F55">
        <w:rPr>
          <w:rFonts w:ascii="標楷體" w:eastAsia="標楷體" w:hAnsi="標楷體" w:cs="新細明體"/>
          <w:kern w:val="0"/>
          <w:szCs w:val="24"/>
        </w:rPr>
        <w:t>本要點經系務會議通過後施行，若有修正亦需經系務會議討論通過。</w:t>
      </w:r>
    </w:p>
    <w:p w:rsidR="00B22729" w:rsidRDefault="00B2272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B22729" w:rsidRDefault="00B22729" w:rsidP="00767E93">
      <w:pPr>
        <w:jc w:val="both"/>
        <w:rPr>
          <w:rFonts w:ascii="標楷體" w:eastAsia="標楷體" w:hAnsi="標楷體"/>
        </w:rPr>
        <w:sectPr w:rsidR="00B22729" w:rsidSect="00767E9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22729" w:rsidRPr="001B4CB7" w:rsidRDefault="00B22729" w:rsidP="00B22729">
      <w:pPr>
        <w:jc w:val="center"/>
        <w:rPr>
          <w:rFonts w:ascii="標楷體" w:eastAsia="標楷體" w:hAnsi="標楷體"/>
          <w:sz w:val="28"/>
          <w:szCs w:val="28"/>
        </w:rPr>
      </w:pPr>
      <w:r w:rsidRPr="000E34F1">
        <w:rPr>
          <w:rFonts w:ascii="標楷體" w:eastAsia="標楷體" w:hAnsi="標楷體" w:hint="eastAsia"/>
          <w:sz w:val="28"/>
          <w:szCs w:val="28"/>
        </w:rPr>
        <w:lastRenderedPageBreak/>
        <w:t>「</w:t>
      </w:r>
      <w:r w:rsidRPr="00B22729">
        <w:rPr>
          <w:rFonts w:ascii="標楷體" w:eastAsia="標楷體" w:hAnsi="標楷體" w:hint="eastAsia"/>
          <w:sz w:val="28"/>
          <w:szCs w:val="28"/>
        </w:rPr>
        <w:t>實踨大學觀光管理學系學習獎勵金要點</w:t>
      </w:r>
      <w:r w:rsidRPr="001B4CB7">
        <w:rPr>
          <w:rFonts w:ascii="標楷體" w:eastAsia="標楷體" w:hAnsi="標楷體" w:hint="eastAsia"/>
          <w:sz w:val="28"/>
          <w:szCs w:val="28"/>
        </w:rPr>
        <w:t>」</w:t>
      </w:r>
    </w:p>
    <w:p w:rsidR="00B22729" w:rsidRPr="00BE0E84" w:rsidRDefault="008C1C36" w:rsidP="00B22729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28"/>
          <w:szCs w:val="28"/>
        </w:rPr>
        <w:t>增訂</w:t>
      </w:r>
      <w:r w:rsidR="00B22729" w:rsidRPr="001B4CB7">
        <w:rPr>
          <w:rFonts w:ascii="標楷體" w:eastAsia="標楷體" w:hAnsi="標楷體" w:hint="eastAsia"/>
          <w:sz w:val="28"/>
          <w:szCs w:val="28"/>
        </w:rPr>
        <w:t>條文對照表</w:t>
      </w:r>
      <w:r w:rsidR="00B22729">
        <w:rPr>
          <w:rFonts w:ascii="標楷體" w:eastAsia="標楷體" w:hAnsi="標楷體" w:hint="eastAsia"/>
          <w:sz w:val="16"/>
          <w:szCs w:val="16"/>
        </w:rPr>
        <w:t>113.1</w:t>
      </w:r>
      <w:r>
        <w:rPr>
          <w:rFonts w:ascii="標楷體" w:eastAsia="標楷體" w:hAnsi="標楷體" w:hint="eastAsia"/>
          <w:sz w:val="16"/>
          <w:szCs w:val="16"/>
        </w:rPr>
        <w:t>1</w:t>
      </w:r>
      <w:r w:rsidR="00B22729">
        <w:rPr>
          <w:rFonts w:ascii="標楷體" w:eastAsia="標楷體" w:hAnsi="標楷體" w:hint="eastAsia"/>
          <w:sz w:val="16"/>
          <w:szCs w:val="16"/>
        </w:rPr>
        <w:t>.</w:t>
      </w:r>
      <w:r>
        <w:rPr>
          <w:rFonts w:ascii="標楷體" w:eastAsia="標楷體" w:hAnsi="標楷體" w:hint="eastAsia"/>
          <w:sz w:val="16"/>
          <w:szCs w:val="16"/>
        </w:rPr>
        <w:t>6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5448"/>
      </w:tblGrid>
      <w:tr w:rsidR="008C1C36" w:rsidRPr="008C1C36" w:rsidTr="008C1C36">
        <w:trPr>
          <w:tblHeader/>
        </w:trPr>
        <w:tc>
          <w:tcPr>
            <w:tcW w:w="1271" w:type="dxa"/>
            <w:shd w:val="clear" w:color="auto" w:fill="D9D9D9" w:themeFill="background1" w:themeFillShade="D9"/>
          </w:tcPr>
          <w:p w:rsidR="00B22729" w:rsidRPr="008C1C36" w:rsidRDefault="008C1C36" w:rsidP="00211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1C36">
              <w:rPr>
                <w:rFonts w:ascii="標楷體" w:eastAsia="標楷體" w:hAnsi="標楷體" w:hint="eastAsia"/>
                <w:szCs w:val="24"/>
              </w:rPr>
              <w:t>條文目的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B22729" w:rsidRPr="008C1C36" w:rsidRDefault="008C1C36" w:rsidP="00211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1C36">
              <w:rPr>
                <w:rFonts w:ascii="標楷體" w:eastAsia="標楷體" w:hAnsi="標楷體" w:hint="eastAsia"/>
                <w:szCs w:val="24"/>
              </w:rPr>
              <w:t>條文內容</w:t>
            </w:r>
          </w:p>
        </w:tc>
        <w:tc>
          <w:tcPr>
            <w:tcW w:w="5448" w:type="dxa"/>
            <w:shd w:val="clear" w:color="auto" w:fill="D9D9D9" w:themeFill="background1" w:themeFillShade="D9"/>
          </w:tcPr>
          <w:p w:rsidR="00B22729" w:rsidRPr="008C1C36" w:rsidRDefault="008C1C36" w:rsidP="002114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1C36">
              <w:rPr>
                <w:rFonts w:ascii="標楷體" w:eastAsia="標楷體" w:hAnsi="標楷體" w:hint="eastAsia"/>
                <w:szCs w:val="24"/>
              </w:rPr>
              <w:t>條文</w:t>
            </w:r>
            <w:r w:rsidR="00B22729" w:rsidRPr="008C1C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8C1C36" w:rsidRPr="008C1C36" w:rsidTr="008C1C36">
        <w:tc>
          <w:tcPr>
            <w:tcW w:w="1271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目的</w:t>
            </w:r>
          </w:p>
        </w:tc>
        <w:tc>
          <w:tcPr>
            <w:tcW w:w="7229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一、為鼓勵學生積極參與學習活動，培養其參與公共事務的素養並擴展領域學習能力，本系特訂定本獎勳金要點，旨在表彰在學習活動中表現優異的學生。</w:t>
            </w:r>
          </w:p>
        </w:tc>
        <w:tc>
          <w:tcPr>
            <w:tcW w:w="5448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目的在於激勵學生更加積極參與學習活動，提升其專業及社會參與的能力，從而在學術及公共領域上展現更積極的表現。該獎勳金制度不僅重視學業表現，還鼓勵學生成為積極參與社會事務的成員。</w:t>
            </w:r>
          </w:p>
        </w:tc>
      </w:tr>
      <w:tr w:rsidR="008C1C36" w:rsidRPr="008C1C36" w:rsidTr="008C1C36">
        <w:tc>
          <w:tcPr>
            <w:tcW w:w="1271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申請對象</w:t>
            </w:r>
          </w:p>
        </w:tc>
        <w:tc>
          <w:tcPr>
            <w:tcW w:w="7229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二、申請對象：</w:t>
            </w:r>
          </w:p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(一)本系具正式學籍之在學學生。</w:t>
            </w:r>
          </w:p>
        </w:tc>
        <w:tc>
          <w:tcPr>
            <w:tcW w:w="5448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確保所有參與此獎勳金計劃的學生都必須為學系</w:t>
            </w:r>
            <w:r w:rsidR="00BA0444">
              <w:rPr>
                <w:rFonts w:ascii="標楷體" w:eastAsia="標楷體" w:hAnsi="標楷體" w:hint="eastAsia"/>
              </w:rPr>
              <w:t>或有強烈意願就讀觀光系</w:t>
            </w:r>
            <w:r w:rsidRPr="008C1C36">
              <w:rPr>
                <w:rFonts w:ascii="標楷體" w:eastAsia="標楷體" w:hAnsi="標楷體" w:hint="eastAsia"/>
              </w:rPr>
              <w:t>的正式在學學生，避免對非正式學生的誤頒獎勳金，保證申請資格的公正性。</w:t>
            </w:r>
          </w:p>
        </w:tc>
      </w:tr>
      <w:tr w:rsidR="008C1C36" w:rsidRPr="008C1C36" w:rsidTr="008C1C36">
        <w:tc>
          <w:tcPr>
            <w:tcW w:w="1271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7229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三、名額</w:t>
            </w:r>
          </w:p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(一)</w:t>
            </w:r>
            <w:r w:rsidR="001D6DC9" w:rsidRPr="003A1F55">
              <w:rPr>
                <w:rFonts w:ascii="標楷體" w:eastAsia="標楷體" w:hAnsi="標楷體" w:cs="新細明體"/>
                <w:kern w:val="0"/>
                <w:szCs w:val="24"/>
              </w:rPr>
              <w:t>每學年度選拔學生</w:t>
            </w:r>
            <w:r w:rsidR="001D6DC9"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  <w:r w:rsidR="001D6DC9" w:rsidRPr="003A1F55">
              <w:rPr>
                <w:rFonts w:ascii="標楷體" w:eastAsia="標楷體" w:hAnsi="標楷體" w:cs="新細明體"/>
                <w:kern w:val="0"/>
                <w:szCs w:val="24"/>
              </w:rPr>
              <w:t>根據實際情況調整名額</w:t>
            </w:r>
            <w:r w:rsidRPr="008C1C36">
              <w:rPr>
                <w:rFonts w:ascii="標楷體" w:eastAsia="標楷體" w:hAnsi="標楷體" w:hint="eastAsia"/>
              </w:rPr>
              <w:t>。</w:t>
            </w:r>
          </w:p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(二)每名學生每學年最多申請一次，且不得重複領取。</w:t>
            </w:r>
          </w:p>
        </w:tc>
        <w:tc>
          <w:tcPr>
            <w:tcW w:w="5448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透過限定名額及申請次數，保持獎勳金的公平性及機會均等，並且鼓勵更多學生積極參與學習活動。同時可根據年度財務狀況調整名額，靈活應對。</w:t>
            </w:r>
          </w:p>
        </w:tc>
      </w:tr>
      <w:tr w:rsidR="008C1C36" w:rsidRPr="008C1C36" w:rsidTr="008C1C36">
        <w:tc>
          <w:tcPr>
            <w:tcW w:w="1271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7229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四、獎勳金金額</w:t>
            </w:r>
          </w:p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(一)獎勳金金額將依據當年度學系編列經費而定。</w:t>
            </w:r>
          </w:p>
        </w:tc>
        <w:tc>
          <w:tcPr>
            <w:tcW w:w="5448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根據學系當年度的預算來決定每位學生所能獲得的獎勳金額，旨在讓獎勳金能夠反映學系的財政狀況，並避免超支情況的發生。</w:t>
            </w:r>
          </w:p>
        </w:tc>
      </w:tr>
      <w:tr w:rsidR="008C1C36" w:rsidRPr="008C1C36" w:rsidTr="008C1C36">
        <w:tc>
          <w:tcPr>
            <w:tcW w:w="1271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申請要項</w:t>
            </w:r>
          </w:p>
        </w:tc>
        <w:tc>
          <w:tcPr>
            <w:tcW w:w="7229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五、申請流程</w:t>
            </w:r>
          </w:p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(一)學生無須主動提出申請。</w:t>
            </w:r>
          </w:p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(二)由學系專任教師推薦，根據學生在學習活動中的表現進行推薦。</w:t>
            </w:r>
          </w:p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lastRenderedPageBreak/>
              <w:t>(三)經系務會議審議後，選出符合條件的學生，並撥發獎勳金。</w:t>
            </w:r>
          </w:p>
        </w:tc>
        <w:tc>
          <w:tcPr>
            <w:tcW w:w="5448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lastRenderedPageBreak/>
              <w:t>由學系專任教師推薦學生，確保推薦者對學生的表現有全面的了解。學生無需自行申請，有效減少學生的負擔並提高推薦的客觀性與公正性。系務會議審議過程則是確保決策透明與合理。</w:t>
            </w:r>
          </w:p>
        </w:tc>
      </w:tr>
      <w:tr w:rsidR="008C1C36" w:rsidRPr="008C1C36" w:rsidTr="008C1C36">
        <w:tc>
          <w:tcPr>
            <w:tcW w:w="1271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lastRenderedPageBreak/>
              <w:t>審查標準</w:t>
            </w:r>
          </w:p>
        </w:tc>
        <w:tc>
          <w:tcPr>
            <w:tcW w:w="7229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六、審查標準</w:t>
            </w:r>
          </w:p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(一)審查將根據學生參與學習活動的積極性、學習成效以及對公共事務的貢獻等多方面進行綜合評估。</w:t>
            </w:r>
          </w:p>
        </w:tc>
        <w:tc>
          <w:tcPr>
            <w:tcW w:w="5448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審查標準強調學生的學習態度、參與度以及實際成果，並不僅僅依賴學業成績，還納入學生在公共事務及社會責任方面的表現，旨在全面評估學生的多面向能力。</w:t>
            </w:r>
          </w:p>
        </w:tc>
      </w:tr>
      <w:tr w:rsidR="008C1C36" w:rsidRPr="008C1C36" w:rsidTr="008C1C36">
        <w:tc>
          <w:tcPr>
            <w:tcW w:w="1271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施行及修正</w:t>
            </w:r>
          </w:p>
        </w:tc>
        <w:tc>
          <w:tcPr>
            <w:tcW w:w="7229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七、本要點經系務會議通過後施行，若有修正亦需經系務會議討論通過。</w:t>
            </w:r>
          </w:p>
        </w:tc>
        <w:tc>
          <w:tcPr>
            <w:tcW w:w="5448" w:type="dxa"/>
          </w:tcPr>
          <w:p w:rsidR="008C1C36" w:rsidRPr="008C1C36" w:rsidRDefault="008C1C36" w:rsidP="008C1C36">
            <w:pPr>
              <w:rPr>
                <w:rFonts w:ascii="標楷體" w:eastAsia="標楷體" w:hAnsi="標楷體"/>
              </w:rPr>
            </w:pPr>
            <w:r w:rsidRPr="008C1C36">
              <w:rPr>
                <w:rFonts w:ascii="標楷體" w:eastAsia="標楷體" w:hAnsi="標楷體" w:hint="eastAsia"/>
              </w:rPr>
              <w:t>本條文確保要點的實施及未來修正都需經過系務會議的討論與批准，以保持制度的民主性與透明度，避免單方面的變動。修正程序的設計有助於保持要點的與時俱進。</w:t>
            </w:r>
          </w:p>
        </w:tc>
      </w:tr>
    </w:tbl>
    <w:p w:rsidR="00F22587" w:rsidRPr="00767E93" w:rsidRDefault="00F22587" w:rsidP="00767E93">
      <w:pPr>
        <w:jc w:val="both"/>
        <w:rPr>
          <w:rFonts w:ascii="標楷體" w:eastAsia="標楷體" w:hAnsi="標楷體"/>
        </w:rPr>
      </w:pPr>
    </w:p>
    <w:sectPr w:rsidR="00F22587" w:rsidRPr="00767E93" w:rsidSect="008C1C36">
      <w:pgSz w:w="16838" w:h="11906" w:orient="landscape"/>
      <w:pgMar w:top="1134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E86" w:rsidRDefault="00212E86" w:rsidP="00B56733">
      <w:r>
        <w:separator/>
      </w:r>
    </w:p>
  </w:endnote>
  <w:endnote w:type="continuationSeparator" w:id="0">
    <w:p w:rsidR="00212E86" w:rsidRDefault="00212E86" w:rsidP="00B5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E86" w:rsidRDefault="00212E86" w:rsidP="00B56733">
      <w:r>
        <w:separator/>
      </w:r>
    </w:p>
  </w:footnote>
  <w:footnote w:type="continuationSeparator" w:id="0">
    <w:p w:rsidR="00212E86" w:rsidRDefault="00212E86" w:rsidP="00B56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667D"/>
    <w:multiLevelType w:val="hybridMultilevel"/>
    <w:tmpl w:val="3A4E12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114AA"/>
    <w:multiLevelType w:val="hybridMultilevel"/>
    <w:tmpl w:val="561A851E"/>
    <w:lvl w:ilvl="0" w:tplc="92122F8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1309BD"/>
    <w:multiLevelType w:val="hybridMultilevel"/>
    <w:tmpl w:val="15D29142"/>
    <w:lvl w:ilvl="0" w:tplc="18642AD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7A393F"/>
    <w:multiLevelType w:val="multilevel"/>
    <w:tmpl w:val="D63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F95929"/>
    <w:multiLevelType w:val="hybridMultilevel"/>
    <w:tmpl w:val="E57A3B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9E29FD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87"/>
    <w:rsid w:val="000411E3"/>
    <w:rsid w:val="000A75D2"/>
    <w:rsid w:val="001C1062"/>
    <w:rsid w:val="001C38BB"/>
    <w:rsid w:val="001D6DC9"/>
    <w:rsid w:val="00212E86"/>
    <w:rsid w:val="00302306"/>
    <w:rsid w:val="003A1F55"/>
    <w:rsid w:val="003E52D8"/>
    <w:rsid w:val="00613DFF"/>
    <w:rsid w:val="006F772F"/>
    <w:rsid w:val="00767E93"/>
    <w:rsid w:val="00777282"/>
    <w:rsid w:val="00790C9E"/>
    <w:rsid w:val="008A1DAF"/>
    <w:rsid w:val="008C1C36"/>
    <w:rsid w:val="00B22729"/>
    <w:rsid w:val="00B56733"/>
    <w:rsid w:val="00BA0444"/>
    <w:rsid w:val="00C01B43"/>
    <w:rsid w:val="00C334B8"/>
    <w:rsid w:val="00CA65FA"/>
    <w:rsid w:val="00CD0209"/>
    <w:rsid w:val="00CE37E8"/>
    <w:rsid w:val="00F2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7BA47"/>
  <w15:chartTrackingRefBased/>
  <w15:docId w15:val="{58144E4D-FA1A-4D45-BCD8-81901F60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767E93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82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777282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777282"/>
  </w:style>
  <w:style w:type="paragraph" w:styleId="a6">
    <w:name w:val="header"/>
    <w:basedOn w:val="a"/>
    <w:link w:val="a7"/>
    <w:uiPriority w:val="99"/>
    <w:unhideWhenUsed/>
    <w:rsid w:val="00B56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673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6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6733"/>
    <w:rPr>
      <w:sz w:val="20"/>
      <w:szCs w:val="20"/>
    </w:rPr>
  </w:style>
  <w:style w:type="character" w:customStyle="1" w:styleId="40">
    <w:name w:val="標題 4 字元"/>
    <w:basedOn w:val="a0"/>
    <w:link w:val="4"/>
    <w:uiPriority w:val="9"/>
    <w:rsid w:val="00767E93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767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B22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D6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D6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D8812-522B-4D66-B855-4D89CED9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GTChang</dc:creator>
  <cp:keywords/>
  <dc:description/>
  <cp:lastModifiedBy>A108540336</cp:lastModifiedBy>
  <cp:revision>10</cp:revision>
  <cp:lastPrinted>2024-12-05T02:15:00Z</cp:lastPrinted>
  <dcterms:created xsi:type="dcterms:W3CDTF">2024-11-20T06:05:00Z</dcterms:created>
  <dcterms:modified xsi:type="dcterms:W3CDTF">2024-12-05T06:31:00Z</dcterms:modified>
</cp:coreProperties>
</file>